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 xml:space="preserve">ФЕДЕРАЛЬНАЯ СЛУЖБА ПО </w:t>
      </w:r>
      <w:proofErr w:type="gramStart"/>
      <w:r w:rsidRPr="001A6DF3">
        <w:rPr>
          <w:rFonts w:ascii="inherit" w:eastAsia="Times New Roman" w:hAnsi="inherit" w:cs="Arial"/>
          <w:b/>
          <w:bCs/>
          <w:sz w:val="24"/>
          <w:szCs w:val="24"/>
          <w:lang w:eastAsia="ru-RU"/>
        </w:rPr>
        <w:t>ЭКОЛОГИЧЕСКОМУ</w:t>
      </w:r>
      <w:proofErr w:type="gramEnd"/>
      <w:r w:rsidRPr="001A6DF3">
        <w:rPr>
          <w:rFonts w:ascii="inherit" w:eastAsia="Times New Roman" w:hAnsi="inherit" w:cs="Arial"/>
          <w:b/>
          <w:bCs/>
          <w:sz w:val="24"/>
          <w:szCs w:val="24"/>
          <w:lang w:eastAsia="ru-RU"/>
        </w:rPr>
        <w:t>, ТЕХНОЛОГИЧЕСКОМУ</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И АТОМНОМУ НАДЗОРУ</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ПРИКАЗ</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от 16 февраля 2017 г. N 58</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ОБ УТВЕРЖДЕНИИ ФОРМЫ ВЫПИСКИ</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r w:rsidRPr="001A6DF3">
        <w:rPr>
          <w:rFonts w:ascii="inherit" w:eastAsia="Times New Roman" w:hAnsi="inherit" w:cs="Arial"/>
          <w:b/>
          <w:bCs/>
          <w:sz w:val="24"/>
          <w:szCs w:val="24"/>
          <w:lang w:eastAsia="ru-RU"/>
        </w:rPr>
        <w:t>ИЗ РЕЕСТРА ЧЛЕНОВ САМОРЕГУЛИРУЕМОЙ ОРГАНИЗАЦИИ</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b/>
          <w:bCs/>
          <w:sz w:val="24"/>
          <w:szCs w:val="24"/>
          <w:lang w:eastAsia="ru-RU"/>
        </w:rPr>
      </w:pP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В соответствии с частью 5 статьи </w:t>
      </w:r>
      <w:hyperlink r:id="rId6" w:history="1">
        <w:r w:rsidRPr="001A6DF3">
          <w:rPr>
            <w:rFonts w:ascii="inherit" w:eastAsia="Times New Roman" w:hAnsi="inherit" w:cs="Arial"/>
            <w:sz w:val="24"/>
            <w:szCs w:val="24"/>
            <w:bdr w:val="none" w:sz="0" w:space="0" w:color="auto" w:frame="1"/>
            <w:lang w:eastAsia="ru-RU"/>
          </w:rPr>
          <w:t>55.17 Градостроительного кодекса</w:t>
        </w:r>
      </w:hyperlink>
      <w:r w:rsidRPr="001A6DF3">
        <w:rPr>
          <w:rFonts w:ascii="inherit" w:eastAsia="Times New Roman" w:hAnsi="inherit" w:cs="Arial"/>
          <w:sz w:val="24"/>
          <w:szCs w:val="24"/>
          <w:lang w:eastAsia="ru-RU"/>
        </w:rPr>
        <w:t xml:space="preserve"> Российской Федерации от 29 декабря 2004 г. N 190-ФЗ (Собрание законодательства Российской Федерации, 2005, N 1, ст. 16; N 30, ст. 3128; 2006, N 1, ст. 10, ст. 21; N 23, ст. 2380; N 31, ст. 3442; N 50, ст. 5279; N 52, ст. 5498; 2007, N 1, ст. 21; N 21, ст. 2455; N 31, ст. 4012; N 45, ст. 5417; N 46, ст. 5553; N 50, ст. 6237; 2008, N 20, ст. 2251, ст. 2260; N 29, ст. 3418; N 30, ст. 3604, ст. 3616; N 52, ст. 6236; </w:t>
      </w:r>
      <w:proofErr w:type="gramStart"/>
      <w:r w:rsidRPr="001A6DF3">
        <w:rPr>
          <w:rFonts w:ascii="inherit" w:eastAsia="Times New Roman" w:hAnsi="inherit" w:cs="Arial"/>
          <w:sz w:val="24"/>
          <w:szCs w:val="24"/>
          <w:lang w:eastAsia="ru-RU"/>
        </w:rPr>
        <w:t>2009, N 1, ст. 17; N 29, ст. 3601; N 48, ст. 5711; N 52, ст. 6419; 2010, N 31, ст. 4195, ст. 4209; N 48, ст. 6246; N 49, ст. 6410; 2011, N 13, ст. 1688; N 17, ст. 2310; N 27, ст. 3880; N 29, ст. 4281, ст. 4291;</w:t>
      </w:r>
      <w:proofErr w:type="gramEnd"/>
      <w:r w:rsidRPr="001A6DF3">
        <w:rPr>
          <w:rFonts w:ascii="inherit" w:eastAsia="Times New Roman" w:hAnsi="inherit" w:cs="Arial"/>
          <w:sz w:val="24"/>
          <w:szCs w:val="24"/>
          <w:lang w:eastAsia="ru-RU"/>
        </w:rPr>
        <w:t xml:space="preserve"> </w:t>
      </w:r>
      <w:proofErr w:type="gramStart"/>
      <w:r w:rsidRPr="001A6DF3">
        <w:rPr>
          <w:rFonts w:ascii="inherit" w:eastAsia="Times New Roman" w:hAnsi="inherit" w:cs="Arial"/>
          <w:sz w:val="24"/>
          <w:szCs w:val="24"/>
          <w:lang w:eastAsia="ru-RU"/>
        </w:rPr>
        <w:t>N 30, ст. 4563, ст. 4572, ст. 4590, ст. 4591, ст. 4594, ст. 4605; N 49, ст. 7015, ст. 7042; N 50, ст. 7343; 2012, N 26, ст. 3446; N 30, ст. 4171; N 31, ст. 4322; N 47, ст. 6390; N 53, ст. 7614, ст. 7619, ст. 7643; 2013, N 9, ст. 873, ст. 874;</w:t>
      </w:r>
      <w:proofErr w:type="gramEnd"/>
      <w:r w:rsidRPr="001A6DF3">
        <w:rPr>
          <w:rFonts w:ascii="inherit" w:eastAsia="Times New Roman" w:hAnsi="inherit" w:cs="Arial"/>
          <w:sz w:val="24"/>
          <w:szCs w:val="24"/>
          <w:lang w:eastAsia="ru-RU"/>
        </w:rPr>
        <w:t xml:space="preserve"> </w:t>
      </w:r>
      <w:proofErr w:type="gramStart"/>
      <w:r w:rsidRPr="001A6DF3">
        <w:rPr>
          <w:rFonts w:ascii="inherit" w:eastAsia="Times New Roman" w:hAnsi="inherit" w:cs="Arial"/>
          <w:sz w:val="24"/>
          <w:szCs w:val="24"/>
          <w:lang w:eastAsia="ru-RU"/>
        </w:rPr>
        <w:t>N 14, ст. 1651; N 23, ст. 2871; N 27, ст. 3477, ст. 3480; N 30, ст. 4040, ст. 4080; N 43, ст. 5452; N 52, ст. 6961, ст. 6983; 2014, N 14, ст. 1557; N 16, ст. 1837; N 19, ст. 2336; N 26, ст. 3377, ст. 3386, ст. 3387;</w:t>
      </w:r>
      <w:proofErr w:type="gramEnd"/>
      <w:r w:rsidRPr="001A6DF3">
        <w:rPr>
          <w:rFonts w:ascii="inherit" w:eastAsia="Times New Roman" w:hAnsi="inherit" w:cs="Arial"/>
          <w:sz w:val="24"/>
          <w:szCs w:val="24"/>
          <w:lang w:eastAsia="ru-RU"/>
        </w:rPr>
        <w:t xml:space="preserve"> </w:t>
      </w:r>
      <w:proofErr w:type="gramStart"/>
      <w:r w:rsidRPr="001A6DF3">
        <w:rPr>
          <w:rFonts w:ascii="inherit" w:eastAsia="Times New Roman" w:hAnsi="inherit" w:cs="Arial"/>
          <w:sz w:val="24"/>
          <w:szCs w:val="24"/>
          <w:lang w:eastAsia="ru-RU"/>
        </w:rPr>
        <w:t>N 30, ст. 4218, ст. 4220, ст. 4225; N 42, ст. 5615; N 43, ст. 5799, ст. 5804; N 48, ст. 6640; 2015, N 1, ст. 9, ст. 11, ст. 38, ст. 52, ст. 72, ст. 86; N 27, ст. 3967; N 29, ст. 4339, ст. 4342, ст. 4378, ст. 4389;</w:t>
      </w:r>
      <w:proofErr w:type="gramEnd"/>
      <w:r w:rsidRPr="001A6DF3">
        <w:rPr>
          <w:rFonts w:ascii="inherit" w:eastAsia="Times New Roman" w:hAnsi="inherit" w:cs="Arial"/>
          <w:sz w:val="24"/>
          <w:szCs w:val="24"/>
          <w:lang w:eastAsia="ru-RU"/>
        </w:rPr>
        <w:t xml:space="preserve"> </w:t>
      </w:r>
      <w:proofErr w:type="gramStart"/>
      <w:r w:rsidRPr="001A6DF3">
        <w:rPr>
          <w:rFonts w:ascii="inherit" w:eastAsia="Times New Roman" w:hAnsi="inherit" w:cs="Arial"/>
          <w:sz w:val="24"/>
          <w:szCs w:val="24"/>
          <w:lang w:eastAsia="ru-RU"/>
        </w:rPr>
        <w:t>N 48, ст. 6705; 2016, N 1, ст. 22, ст. 79; N 26, ст. 3867; N 27, ст. 4301, ст. 4302, ст. 4303, ст. 4304, ст. 4305, ст. 4306; N 52, ст. 7494) приказываю:</w:t>
      </w:r>
      <w:proofErr w:type="gramEnd"/>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1. Утвердить прилагаемую форму выписки из реестра членов саморегулируемых организаций.</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2. Признать утратившим силу приказ Федеральной службы по экологическому, технологическому и атомному надзору от 24 сентября 2010 г. N </w:t>
      </w:r>
      <w:hyperlink r:id="rId7" w:history="1">
        <w:r w:rsidRPr="001A6DF3">
          <w:rPr>
            <w:rFonts w:ascii="inherit" w:eastAsia="Times New Roman" w:hAnsi="inherit" w:cs="Arial"/>
            <w:sz w:val="24"/>
            <w:szCs w:val="24"/>
            <w:bdr w:val="none" w:sz="0" w:space="0" w:color="auto" w:frame="1"/>
            <w:lang w:eastAsia="ru-RU"/>
          </w:rPr>
          <w:t>952</w:t>
        </w:r>
      </w:hyperlink>
      <w:r w:rsidRPr="001A6DF3">
        <w:rPr>
          <w:rFonts w:ascii="inherit" w:eastAsia="Times New Roman" w:hAnsi="inherit" w:cs="Arial"/>
          <w:sz w:val="24"/>
          <w:szCs w:val="24"/>
          <w:lang w:eastAsia="ru-RU"/>
        </w:rPr>
        <w:t> "Об утверждении формы выписки из реестра членов саморегулируемой организации" (зарегистрирован Министерством юстиции Российской Федерации 16 декабря 2010 г., регистрационный N 19198; Бюллетень нормативных актов федеральных органов исполнительной власти, 2011, N 3).</w:t>
      </w:r>
    </w:p>
    <w:p w:rsidR="00273F6A" w:rsidRDefault="00273F6A"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273F6A" w:rsidRDefault="00273F6A"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Руководитель</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А.В.АЛЕШИН</w:t>
      </w: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AA654C" w:rsidRDefault="00AA654C" w:rsidP="001A6DF3">
      <w:pPr>
        <w:shd w:val="clear" w:color="auto" w:fill="FFFFFF"/>
        <w:spacing w:after="0" w:line="240" w:lineRule="auto"/>
        <w:jc w:val="right"/>
        <w:textAlignment w:val="baseline"/>
        <w:rPr>
          <w:rFonts w:ascii="inherit" w:eastAsia="Times New Roman" w:hAnsi="inherit" w:cs="Arial"/>
          <w:sz w:val="24"/>
          <w:szCs w:val="24"/>
          <w:lang w:eastAsia="ru-RU"/>
        </w:rPr>
      </w:pP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bookmarkStart w:id="0" w:name="_GoBack"/>
      <w:bookmarkEnd w:id="0"/>
      <w:r w:rsidRPr="001A6DF3">
        <w:rPr>
          <w:rFonts w:ascii="inherit" w:eastAsia="Times New Roman" w:hAnsi="inherit" w:cs="Arial"/>
          <w:sz w:val="24"/>
          <w:szCs w:val="24"/>
          <w:lang w:eastAsia="ru-RU"/>
        </w:rPr>
        <w:lastRenderedPageBreak/>
        <w:t>Утверждена</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приказом Федеральной службы</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по экологическому, технологическому</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и атомному надзору</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от 16 февраля 2017 г. N 58</w:t>
      </w:r>
    </w:p>
    <w:p w:rsidR="001A6DF3" w:rsidRPr="001A6DF3" w:rsidRDefault="001A6DF3" w:rsidP="001A6DF3">
      <w:pPr>
        <w:shd w:val="clear" w:color="auto" w:fill="FFFFFF"/>
        <w:spacing w:after="0" w:line="240" w:lineRule="auto"/>
        <w:jc w:val="right"/>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Форма</w:t>
      </w:r>
    </w:p>
    <w:p w:rsidR="001A6DF3" w:rsidRDefault="001A6DF3" w:rsidP="001A6DF3">
      <w:pPr>
        <w:shd w:val="clear" w:color="auto" w:fill="FFFFFF"/>
        <w:spacing w:after="0" w:line="240" w:lineRule="auto"/>
        <w:jc w:val="center"/>
        <w:textAlignment w:val="baseline"/>
        <w:rPr>
          <w:rFonts w:ascii="inherit" w:eastAsia="Times New Roman" w:hAnsi="inherit" w:cs="Arial"/>
          <w:sz w:val="24"/>
          <w:szCs w:val="24"/>
          <w:lang w:eastAsia="ru-RU"/>
        </w:rPr>
      </w:pPr>
    </w:p>
    <w:p w:rsidR="001A6DF3" w:rsidRDefault="001A6DF3" w:rsidP="001A6DF3">
      <w:pPr>
        <w:shd w:val="clear" w:color="auto" w:fill="FFFFFF"/>
        <w:spacing w:after="0" w:line="240" w:lineRule="auto"/>
        <w:jc w:val="center"/>
        <w:textAlignment w:val="baseline"/>
        <w:rPr>
          <w:rFonts w:ascii="inherit" w:eastAsia="Times New Roman" w:hAnsi="inherit" w:cs="Arial"/>
          <w:sz w:val="24"/>
          <w:szCs w:val="24"/>
          <w:lang w:eastAsia="ru-RU"/>
        </w:rPr>
      </w:pPr>
    </w:p>
    <w:p w:rsidR="001A6DF3" w:rsidRPr="001A6DF3" w:rsidRDefault="001A6DF3" w:rsidP="001A6DF3">
      <w:pPr>
        <w:shd w:val="clear" w:color="auto" w:fill="FFFFFF"/>
        <w:spacing w:after="0" w:line="240" w:lineRule="auto"/>
        <w:jc w:val="center"/>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ВЫПИСКА</w:t>
      </w:r>
    </w:p>
    <w:p w:rsidR="001A6DF3" w:rsidRPr="001A6DF3" w:rsidRDefault="001A6DF3" w:rsidP="001A6DF3">
      <w:pPr>
        <w:shd w:val="clear" w:color="auto" w:fill="FFFFFF"/>
        <w:spacing w:after="0" w:line="240" w:lineRule="auto"/>
        <w:jc w:val="center"/>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ИЗ РЕЕСТРА ЧЛЕНОВ САМОРЕГУЛИРУЕМОЙ ОРГАНИЗАЦИИ</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_________________ ___________</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(дата) (номер)</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___________________________________________________________________________</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(полное наименование саморегулируемой организации)</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___________________________________________________________________________</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proofErr w:type="gramStart"/>
      <w:r w:rsidRPr="001A6DF3">
        <w:rPr>
          <w:rFonts w:ascii="inherit" w:eastAsia="Times New Roman" w:hAnsi="inherit" w:cs="Arial"/>
          <w:sz w:val="24"/>
          <w:szCs w:val="24"/>
          <w:lang w:eastAsia="ru-RU"/>
        </w:rPr>
        <w:t>(адрес места нахождения, адрес официального сайта</w:t>
      </w:r>
      <w:proofErr w:type="gramEnd"/>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в информационно-телекоммуникационной сети "Интернет")</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___________________________________________________________________________</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proofErr w:type="gramStart"/>
      <w:r w:rsidRPr="001A6DF3">
        <w:rPr>
          <w:rFonts w:ascii="inherit" w:eastAsia="Times New Roman" w:hAnsi="inherit" w:cs="Arial"/>
          <w:sz w:val="24"/>
          <w:szCs w:val="24"/>
          <w:lang w:eastAsia="ru-RU"/>
        </w:rPr>
        <w:t>(регистрационный номер записи в государственном реестре</w:t>
      </w:r>
      <w:proofErr w:type="gramEnd"/>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proofErr w:type="gramStart"/>
      <w:r w:rsidRPr="001A6DF3">
        <w:rPr>
          <w:rFonts w:ascii="inherit" w:eastAsia="Times New Roman" w:hAnsi="inherit" w:cs="Arial"/>
          <w:sz w:val="24"/>
          <w:szCs w:val="24"/>
          <w:lang w:eastAsia="ru-RU"/>
        </w:rPr>
        <w:t>саморегулируемых организаций)</w:t>
      </w:r>
      <w:proofErr w:type="gramEnd"/>
    </w:p>
    <w:tbl>
      <w:tblPr>
        <w:tblW w:w="9060" w:type="dxa"/>
        <w:tblCellMar>
          <w:left w:w="0" w:type="dxa"/>
          <w:right w:w="0" w:type="dxa"/>
        </w:tblCellMar>
        <w:tblLook w:val="04A0" w:firstRow="1" w:lastRow="0" w:firstColumn="1" w:lastColumn="0" w:noHBand="0" w:noVBand="1"/>
      </w:tblPr>
      <w:tblGrid>
        <w:gridCol w:w="462"/>
        <w:gridCol w:w="7534"/>
        <w:gridCol w:w="1064"/>
      </w:tblGrid>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 xml:space="preserve">N </w:t>
            </w:r>
            <w:proofErr w:type="gramStart"/>
            <w:r w:rsidRPr="001A6DF3">
              <w:rPr>
                <w:rFonts w:ascii="inherit" w:eastAsia="Times New Roman" w:hAnsi="inherit" w:cs="Times New Roman"/>
                <w:b/>
                <w:bCs/>
                <w:sz w:val="24"/>
                <w:szCs w:val="24"/>
                <w:lang w:eastAsia="ru-RU"/>
              </w:rPr>
              <w:t>п</w:t>
            </w:r>
            <w:proofErr w:type="gramEnd"/>
            <w:r w:rsidRPr="001A6DF3">
              <w:rPr>
                <w:rFonts w:ascii="inherit" w:eastAsia="Times New Roman" w:hAnsi="inherit" w:cs="Times New Roman"/>
                <w:b/>
                <w:bCs/>
                <w:sz w:val="24"/>
                <w:szCs w:val="24"/>
                <w:lang w:eastAsia="ru-RU"/>
              </w:rPr>
              <w:t>/п</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Наименование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Сведения</w:t>
            </w: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Сведения о члене саморегулируемой организации: идентификационный номер налогоплательщика, полное и сокращенное (при наличии) наименование юридического лица, адрес места нахождения, фамилия, имя, отчество индивидуального предпринимателя, дата рождения, место фактического осуществления деятельности, регистрационный номер члена саморегулируемой организации в реестре членов и дата его регистрации в реестре членов</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Дата и номер решения о приеме в члены саморегулируемой организации, дата вступления в силу решения о приеме в члены саморегулируемой организации</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Дата и номер решения об исключении из членов саморегулируемой организации, основания исключения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proofErr w:type="gramStart"/>
            <w:r w:rsidRPr="001A6DF3">
              <w:rPr>
                <w:rFonts w:ascii="inherit" w:eastAsia="Times New Roman" w:hAnsi="inherit" w:cs="Times New Roman"/>
                <w:sz w:val="24"/>
                <w:szCs w:val="24"/>
                <w:lang w:eastAsia="ru-RU"/>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в) в отношении объектов использования атомной энергии</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 xml:space="preserve">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w:t>
            </w:r>
            <w:r w:rsidRPr="001A6DF3">
              <w:rPr>
                <w:rFonts w:ascii="inherit" w:eastAsia="Times New Roman" w:hAnsi="inherit" w:cs="Times New Roman"/>
                <w:sz w:val="24"/>
                <w:szCs w:val="24"/>
                <w:lang w:eastAsia="ru-RU"/>
              </w:rPr>
              <w:lastRenderedPageBreak/>
              <w:t>членом внесен взнос в компенсационный фонд возмещения вреда</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lastRenderedPageBreak/>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8 "*"</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Номер и дата выдачи свидетельства о допуске к определенному виду или видам работ, которые оказывают влияние на безопасность объектов капитального строительства. Свидетельство выдано взамен ранее выданного свидетельства (номер свидетельства, дата выдачи)</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9 "*"</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а) в отношении объектов капитального строительства (кроме особо опасных и технически сложных объектов, объектов использования атомной энергии);</w:t>
            </w:r>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б) в отношении особо опасных и технически сложных объектов капитального строительства (кроме объектов использования атомной энергии);</w:t>
            </w:r>
          </w:p>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в) в отношении объектов использования атомной энергии</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r w:rsidR="001A6DF3" w:rsidRPr="001A6DF3" w:rsidTr="001A6DF3">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jc w:val="center"/>
              <w:textAlignment w:val="baseline"/>
              <w:rPr>
                <w:rFonts w:ascii="inherit" w:eastAsia="Times New Roman" w:hAnsi="inherit" w:cs="Times New Roman"/>
                <w:b/>
                <w:bCs/>
                <w:sz w:val="24"/>
                <w:szCs w:val="24"/>
                <w:lang w:eastAsia="ru-RU"/>
              </w:rPr>
            </w:pPr>
            <w:r w:rsidRPr="001A6DF3">
              <w:rPr>
                <w:rFonts w:ascii="inherit" w:eastAsia="Times New Roman" w:hAnsi="inherit" w:cs="Times New Roman"/>
                <w:b/>
                <w:bCs/>
                <w:sz w:val="24"/>
                <w:szCs w:val="24"/>
                <w:lang w:eastAsia="ru-RU"/>
              </w:rPr>
              <w:t>10 "*"</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textAlignment w:val="baseline"/>
              <w:rPr>
                <w:rFonts w:ascii="inherit" w:eastAsia="Times New Roman" w:hAnsi="inherit" w:cs="Times New Roman"/>
                <w:sz w:val="24"/>
                <w:szCs w:val="24"/>
                <w:lang w:eastAsia="ru-RU"/>
              </w:rPr>
            </w:pPr>
            <w:r w:rsidRPr="001A6DF3">
              <w:rPr>
                <w:rFonts w:ascii="inherit" w:eastAsia="Times New Roman" w:hAnsi="inherit" w:cs="Times New Roman"/>
                <w:sz w:val="24"/>
                <w:szCs w:val="24"/>
                <w:lang w:eastAsia="ru-RU"/>
              </w:rPr>
              <w:t>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tc>
        <w:tc>
          <w:tcPr>
            <w:tcW w:w="0" w:type="auto"/>
            <w:tcBorders>
              <w:top w:val="single" w:sz="8" w:space="0" w:color="auto"/>
              <w:left w:val="single" w:sz="8" w:space="0" w:color="auto"/>
              <w:bottom w:val="single" w:sz="8" w:space="0" w:color="auto"/>
              <w:right w:val="single" w:sz="8" w:space="0" w:color="auto"/>
            </w:tcBorders>
            <w:vAlign w:val="bottom"/>
            <w:hideMark/>
          </w:tcPr>
          <w:p w:rsidR="001A6DF3" w:rsidRPr="001A6DF3" w:rsidRDefault="001A6DF3" w:rsidP="001A6DF3">
            <w:pPr>
              <w:spacing w:after="0" w:line="240" w:lineRule="auto"/>
              <w:rPr>
                <w:rFonts w:ascii="inherit" w:eastAsia="Times New Roman" w:hAnsi="inherit" w:cs="Times New Roman"/>
                <w:sz w:val="24"/>
                <w:szCs w:val="24"/>
                <w:lang w:eastAsia="ru-RU"/>
              </w:rPr>
            </w:pPr>
          </w:p>
        </w:tc>
      </w:tr>
    </w:tbl>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______________________ _____________ ___________________________</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proofErr w:type="gramStart"/>
      <w:r w:rsidRPr="001A6DF3">
        <w:rPr>
          <w:rFonts w:ascii="inherit" w:eastAsia="Times New Roman" w:hAnsi="inherit" w:cs="Arial"/>
          <w:sz w:val="24"/>
          <w:szCs w:val="24"/>
          <w:lang w:eastAsia="ru-RU"/>
        </w:rPr>
        <w:t>(должность (подпись) (инициалы, фамилия)</w:t>
      </w:r>
      <w:proofErr w:type="gramEnd"/>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уполномоченного лица)</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М.П.</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w:t>
      </w:r>
    </w:p>
    <w:p w:rsidR="001A6DF3" w:rsidRPr="001A6DF3" w:rsidRDefault="001A6DF3" w:rsidP="001A6DF3">
      <w:pPr>
        <w:shd w:val="clear" w:color="auto" w:fill="FFFFFF"/>
        <w:spacing w:after="0" w:line="240" w:lineRule="auto"/>
        <w:jc w:val="both"/>
        <w:textAlignment w:val="baseline"/>
        <w:rPr>
          <w:rFonts w:ascii="inherit" w:eastAsia="Times New Roman" w:hAnsi="inherit" w:cs="Arial"/>
          <w:sz w:val="24"/>
          <w:szCs w:val="24"/>
          <w:lang w:eastAsia="ru-RU"/>
        </w:rPr>
      </w:pPr>
      <w:r w:rsidRPr="001A6DF3">
        <w:rPr>
          <w:rFonts w:ascii="inherit" w:eastAsia="Times New Roman" w:hAnsi="inherit" w:cs="Arial"/>
          <w:sz w:val="24"/>
          <w:szCs w:val="24"/>
          <w:lang w:eastAsia="ru-RU"/>
        </w:rPr>
        <w:t>"*" Пункты 8, 9 и 10 не применяются с 1 июля 2017 года.</w:t>
      </w:r>
    </w:p>
    <w:sectPr w:rsidR="001A6DF3" w:rsidRPr="001A6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2F37"/>
    <w:multiLevelType w:val="multilevel"/>
    <w:tmpl w:val="050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F3"/>
    <w:rsid w:val="001A6DF3"/>
    <w:rsid w:val="00273F6A"/>
    <w:rsid w:val="00451560"/>
    <w:rsid w:val="00757F83"/>
    <w:rsid w:val="00AA654C"/>
    <w:rsid w:val="00EE4E21"/>
    <w:rsid w:val="00F4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DF3"/>
  </w:style>
  <w:style w:type="character" w:styleId="a3">
    <w:name w:val="Hyperlink"/>
    <w:basedOn w:val="a0"/>
    <w:uiPriority w:val="99"/>
    <w:semiHidden/>
    <w:unhideWhenUsed/>
    <w:rsid w:val="001A6DF3"/>
    <w:rPr>
      <w:color w:val="0000FF"/>
      <w:u w:val="single"/>
    </w:rPr>
  </w:style>
  <w:style w:type="paragraph" w:customStyle="1" w:styleId="pr">
    <w:name w:val="pr"/>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DF3"/>
  </w:style>
  <w:style w:type="character" w:styleId="a3">
    <w:name w:val="Hyperlink"/>
    <w:basedOn w:val="a0"/>
    <w:uiPriority w:val="99"/>
    <w:semiHidden/>
    <w:unhideWhenUsed/>
    <w:rsid w:val="001A6DF3"/>
    <w:rPr>
      <w:color w:val="0000FF"/>
      <w:u w:val="single"/>
    </w:rPr>
  </w:style>
  <w:style w:type="paragraph" w:customStyle="1" w:styleId="pr">
    <w:name w:val="pr"/>
    <w:basedOn w:val="a"/>
    <w:rsid w:val="001A6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45411">
      <w:bodyDiv w:val="1"/>
      <w:marLeft w:val="0"/>
      <w:marRight w:val="0"/>
      <w:marTop w:val="0"/>
      <w:marBottom w:val="0"/>
      <w:divBdr>
        <w:top w:val="none" w:sz="0" w:space="0" w:color="auto"/>
        <w:left w:val="none" w:sz="0" w:space="0" w:color="auto"/>
        <w:bottom w:val="none" w:sz="0" w:space="0" w:color="auto"/>
        <w:right w:val="none" w:sz="0" w:space="0" w:color="auto"/>
      </w:divBdr>
      <w:divsChild>
        <w:div w:id="371613324">
          <w:marLeft w:val="0"/>
          <w:marRight w:val="0"/>
          <w:marTop w:val="0"/>
          <w:marBottom w:val="0"/>
          <w:divBdr>
            <w:top w:val="none" w:sz="0" w:space="0" w:color="auto"/>
            <w:left w:val="none" w:sz="0" w:space="0" w:color="auto"/>
            <w:bottom w:val="none" w:sz="0" w:space="0" w:color="auto"/>
            <w:right w:val="none" w:sz="0" w:space="0" w:color="auto"/>
          </w:divBdr>
          <w:divsChild>
            <w:div w:id="429594693">
              <w:marLeft w:val="0"/>
              <w:marRight w:val="0"/>
              <w:marTop w:val="0"/>
              <w:marBottom w:val="0"/>
              <w:divBdr>
                <w:top w:val="none" w:sz="0" w:space="0" w:color="auto"/>
                <w:left w:val="none" w:sz="0" w:space="0" w:color="auto"/>
                <w:bottom w:val="none" w:sz="0" w:space="0" w:color="auto"/>
                <w:right w:val="none" w:sz="0" w:space="0" w:color="auto"/>
              </w:divBdr>
              <w:divsChild>
                <w:div w:id="681707514">
                  <w:marLeft w:val="0"/>
                  <w:marRight w:val="0"/>
                  <w:marTop w:val="0"/>
                  <w:marBottom w:val="0"/>
                  <w:divBdr>
                    <w:top w:val="none" w:sz="0" w:space="0" w:color="auto"/>
                    <w:left w:val="none" w:sz="0" w:space="0" w:color="auto"/>
                    <w:bottom w:val="none" w:sz="0" w:space="0" w:color="auto"/>
                    <w:right w:val="none" w:sz="0" w:space="0" w:color="auto"/>
                  </w:divBdr>
                  <w:divsChild>
                    <w:div w:id="234239431">
                      <w:marLeft w:val="0"/>
                      <w:marRight w:val="0"/>
                      <w:marTop w:val="0"/>
                      <w:marBottom w:val="0"/>
                      <w:divBdr>
                        <w:top w:val="none" w:sz="0" w:space="0" w:color="auto"/>
                        <w:left w:val="none" w:sz="0" w:space="0" w:color="auto"/>
                        <w:bottom w:val="none" w:sz="0" w:space="0" w:color="auto"/>
                        <w:right w:val="none" w:sz="0" w:space="0" w:color="auto"/>
                      </w:divBdr>
                      <w:divsChild>
                        <w:div w:id="606884793">
                          <w:marLeft w:val="0"/>
                          <w:marRight w:val="0"/>
                          <w:marTop w:val="0"/>
                          <w:marBottom w:val="0"/>
                          <w:divBdr>
                            <w:top w:val="none" w:sz="0" w:space="0" w:color="auto"/>
                            <w:left w:val="none" w:sz="0" w:space="0" w:color="auto"/>
                            <w:bottom w:val="none" w:sz="0" w:space="0" w:color="auto"/>
                            <w:right w:val="none" w:sz="0" w:space="0" w:color="auto"/>
                          </w:divBdr>
                          <w:divsChild>
                            <w:div w:id="1995521906">
                              <w:marLeft w:val="0"/>
                              <w:marRight w:val="0"/>
                              <w:marTop w:val="0"/>
                              <w:marBottom w:val="0"/>
                              <w:divBdr>
                                <w:top w:val="none" w:sz="0" w:space="0" w:color="auto"/>
                                <w:left w:val="none" w:sz="0" w:space="0" w:color="auto"/>
                                <w:bottom w:val="none" w:sz="0" w:space="0" w:color="auto"/>
                                <w:right w:val="none" w:sz="0" w:space="0" w:color="auto"/>
                              </w:divBdr>
                            </w:div>
                            <w:div w:id="493689978">
                              <w:marLeft w:val="0"/>
                              <w:marRight w:val="0"/>
                              <w:marTop w:val="0"/>
                              <w:marBottom w:val="0"/>
                              <w:divBdr>
                                <w:top w:val="none" w:sz="0" w:space="0" w:color="auto"/>
                                <w:left w:val="none" w:sz="0" w:space="0" w:color="auto"/>
                                <w:bottom w:val="none" w:sz="0" w:space="0" w:color="auto"/>
                                <w:right w:val="none" w:sz="0" w:space="0" w:color="auto"/>
                              </w:divBdr>
                            </w:div>
                            <w:div w:id="262956984">
                              <w:marLeft w:val="0"/>
                              <w:marRight w:val="0"/>
                              <w:marTop w:val="0"/>
                              <w:marBottom w:val="0"/>
                              <w:divBdr>
                                <w:top w:val="none" w:sz="0" w:space="0" w:color="auto"/>
                                <w:left w:val="none" w:sz="0" w:space="0" w:color="auto"/>
                                <w:bottom w:val="none" w:sz="0" w:space="0" w:color="auto"/>
                                <w:right w:val="none" w:sz="0" w:space="0" w:color="auto"/>
                              </w:divBdr>
                            </w:div>
                            <w:div w:id="319896024">
                              <w:marLeft w:val="0"/>
                              <w:marRight w:val="0"/>
                              <w:marTop w:val="0"/>
                              <w:marBottom w:val="0"/>
                              <w:divBdr>
                                <w:top w:val="none" w:sz="0" w:space="0" w:color="auto"/>
                                <w:left w:val="none" w:sz="0" w:space="0" w:color="auto"/>
                                <w:bottom w:val="none" w:sz="0" w:space="0" w:color="auto"/>
                                <w:right w:val="none" w:sz="0" w:space="0" w:color="auto"/>
                              </w:divBdr>
                            </w:div>
                            <w:div w:id="513760767">
                              <w:marLeft w:val="0"/>
                              <w:marRight w:val="0"/>
                              <w:marTop w:val="0"/>
                              <w:marBottom w:val="0"/>
                              <w:divBdr>
                                <w:top w:val="none" w:sz="0" w:space="0" w:color="auto"/>
                                <w:left w:val="none" w:sz="0" w:space="0" w:color="auto"/>
                                <w:bottom w:val="none" w:sz="0" w:space="0" w:color="auto"/>
                                <w:right w:val="none" w:sz="0" w:space="0" w:color="auto"/>
                              </w:divBdr>
                            </w:div>
                            <w:div w:id="769859876">
                              <w:marLeft w:val="0"/>
                              <w:marRight w:val="0"/>
                              <w:marTop w:val="0"/>
                              <w:marBottom w:val="0"/>
                              <w:divBdr>
                                <w:top w:val="none" w:sz="0" w:space="0" w:color="auto"/>
                                <w:left w:val="none" w:sz="0" w:space="0" w:color="auto"/>
                                <w:bottom w:val="none" w:sz="0" w:space="0" w:color="auto"/>
                                <w:right w:val="none" w:sz="0" w:space="0" w:color="auto"/>
                              </w:divBdr>
                            </w:div>
                            <w:div w:id="1950044528">
                              <w:marLeft w:val="0"/>
                              <w:marRight w:val="0"/>
                              <w:marTop w:val="0"/>
                              <w:marBottom w:val="0"/>
                              <w:divBdr>
                                <w:top w:val="none" w:sz="0" w:space="0" w:color="auto"/>
                                <w:left w:val="none" w:sz="0" w:space="0" w:color="auto"/>
                                <w:bottom w:val="none" w:sz="0" w:space="0" w:color="auto"/>
                                <w:right w:val="none" w:sz="0" w:space="0" w:color="auto"/>
                              </w:divBdr>
                            </w:div>
                            <w:div w:id="1211573140">
                              <w:marLeft w:val="0"/>
                              <w:marRight w:val="0"/>
                              <w:marTop w:val="0"/>
                              <w:marBottom w:val="0"/>
                              <w:divBdr>
                                <w:top w:val="none" w:sz="0" w:space="0" w:color="auto"/>
                                <w:left w:val="none" w:sz="0" w:space="0" w:color="auto"/>
                                <w:bottom w:val="none" w:sz="0" w:space="0" w:color="auto"/>
                                <w:right w:val="none" w:sz="0" w:space="0" w:color="auto"/>
                              </w:divBdr>
                            </w:div>
                            <w:div w:id="1938636839">
                              <w:marLeft w:val="0"/>
                              <w:marRight w:val="0"/>
                              <w:marTop w:val="0"/>
                              <w:marBottom w:val="0"/>
                              <w:divBdr>
                                <w:top w:val="none" w:sz="0" w:space="0" w:color="auto"/>
                                <w:left w:val="none" w:sz="0" w:space="0" w:color="auto"/>
                                <w:bottom w:val="none" w:sz="0" w:space="0" w:color="auto"/>
                                <w:right w:val="none" w:sz="0" w:space="0" w:color="auto"/>
                              </w:divBdr>
                            </w:div>
                            <w:div w:id="697858180">
                              <w:marLeft w:val="0"/>
                              <w:marRight w:val="0"/>
                              <w:marTop w:val="0"/>
                              <w:marBottom w:val="0"/>
                              <w:divBdr>
                                <w:top w:val="none" w:sz="0" w:space="0" w:color="auto"/>
                                <w:left w:val="none" w:sz="0" w:space="0" w:color="auto"/>
                                <w:bottom w:val="none" w:sz="0" w:space="0" w:color="auto"/>
                                <w:right w:val="none" w:sz="0" w:space="0" w:color="auto"/>
                              </w:divBdr>
                            </w:div>
                            <w:div w:id="76900925">
                              <w:marLeft w:val="0"/>
                              <w:marRight w:val="0"/>
                              <w:marTop w:val="0"/>
                              <w:marBottom w:val="0"/>
                              <w:divBdr>
                                <w:top w:val="none" w:sz="0" w:space="0" w:color="auto"/>
                                <w:left w:val="none" w:sz="0" w:space="0" w:color="auto"/>
                                <w:bottom w:val="none" w:sz="0" w:space="0" w:color="auto"/>
                                <w:right w:val="none" w:sz="0" w:space="0" w:color="auto"/>
                              </w:divBdr>
                            </w:div>
                            <w:div w:id="1032923895">
                              <w:marLeft w:val="0"/>
                              <w:marRight w:val="0"/>
                              <w:marTop w:val="0"/>
                              <w:marBottom w:val="0"/>
                              <w:divBdr>
                                <w:top w:val="none" w:sz="0" w:space="0" w:color="auto"/>
                                <w:left w:val="none" w:sz="0" w:space="0" w:color="auto"/>
                                <w:bottom w:val="none" w:sz="0" w:space="0" w:color="auto"/>
                                <w:right w:val="none" w:sz="0" w:space="0" w:color="auto"/>
                              </w:divBdr>
                            </w:div>
                            <w:div w:id="1527906792">
                              <w:marLeft w:val="0"/>
                              <w:marRight w:val="0"/>
                              <w:marTop w:val="0"/>
                              <w:marBottom w:val="0"/>
                              <w:divBdr>
                                <w:top w:val="none" w:sz="0" w:space="0" w:color="auto"/>
                                <w:left w:val="none" w:sz="0" w:space="0" w:color="auto"/>
                                <w:bottom w:val="none" w:sz="0" w:space="0" w:color="auto"/>
                                <w:right w:val="none" w:sz="0" w:space="0" w:color="auto"/>
                              </w:divBdr>
                            </w:div>
                            <w:div w:id="989094842">
                              <w:marLeft w:val="0"/>
                              <w:marRight w:val="0"/>
                              <w:marTop w:val="0"/>
                              <w:marBottom w:val="0"/>
                              <w:divBdr>
                                <w:top w:val="none" w:sz="0" w:space="0" w:color="auto"/>
                                <w:left w:val="none" w:sz="0" w:space="0" w:color="auto"/>
                                <w:bottom w:val="none" w:sz="0" w:space="0" w:color="auto"/>
                                <w:right w:val="none" w:sz="0" w:space="0" w:color="auto"/>
                              </w:divBdr>
                            </w:div>
                            <w:div w:id="114638165">
                              <w:marLeft w:val="0"/>
                              <w:marRight w:val="0"/>
                              <w:marTop w:val="0"/>
                              <w:marBottom w:val="0"/>
                              <w:divBdr>
                                <w:top w:val="none" w:sz="0" w:space="0" w:color="auto"/>
                                <w:left w:val="none" w:sz="0" w:space="0" w:color="auto"/>
                                <w:bottom w:val="none" w:sz="0" w:space="0" w:color="auto"/>
                                <w:right w:val="none" w:sz="0" w:space="0" w:color="auto"/>
                              </w:divBdr>
                            </w:div>
                            <w:div w:id="2039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21071">
          <w:marLeft w:val="0"/>
          <w:marRight w:val="0"/>
          <w:marTop w:val="0"/>
          <w:marBottom w:val="0"/>
          <w:divBdr>
            <w:top w:val="none" w:sz="0" w:space="0" w:color="auto"/>
            <w:left w:val="none" w:sz="0" w:space="0" w:color="auto"/>
            <w:bottom w:val="none" w:sz="0" w:space="0" w:color="auto"/>
            <w:right w:val="none" w:sz="0" w:space="0" w:color="auto"/>
          </w:divBdr>
          <w:divsChild>
            <w:div w:id="1541016342">
              <w:marLeft w:val="0"/>
              <w:marRight w:val="0"/>
              <w:marTop w:val="0"/>
              <w:marBottom w:val="0"/>
              <w:divBdr>
                <w:top w:val="none" w:sz="0" w:space="0" w:color="auto"/>
                <w:left w:val="none" w:sz="0" w:space="0" w:color="auto"/>
                <w:bottom w:val="none" w:sz="0" w:space="0" w:color="auto"/>
                <w:right w:val="none" w:sz="0" w:space="0" w:color="auto"/>
              </w:divBdr>
              <w:divsChild>
                <w:div w:id="486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laws.ru/acts/Prikaz-Rostehnadzora-ot-24.09.2010-N-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Gradostroitelnyy-kodeks/Glava-6.1/Statya-55.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Смирнов</dc:creator>
  <cp:lastModifiedBy>Юрий Смирнов</cp:lastModifiedBy>
  <cp:revision>2</cp:revision>
  <cp:lastPrinted>2017-05-17T11:58:00Z</cp:lastPrinted>
  <dcterms:created xsi:type="dcterms:W3CDTF">2017-08-01T06:54:00Z</dcterms:created>
  <dcterms:modified xsi:type="dcterms:W3CDTF">2017-08-01T06:54:00Z</dcterms:modified>
</cp:coreProperties>
</file>