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ФЕДЕРАЛЬНАЯ СЛУЖБА ПО ЭКОЛОГИЧЕСКОМУ, ТЕХНОЛОГИЧЕСКОМУ И АТОМНОМУ НАДЗОРУ</w:t>
      </w: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ПИСЬМО</w:t>
      </w:r>
      <w:bookmarkStart w:id="0" w:name="_GoBack"/>
      <w:bookmarkEnd w:id="0"/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от 16 августа 2017 г. N 09-01-04/10095</w:t>
      </w:r>
    </w:p>
    <w:p w:rsidR="00DE07D9" w:rsidRPr="00DE0BBB" w:rsidRDefault="00DE07D9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ПО ВОПРОСУ</w:t>
      </w: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ПРИМЕНЕНИЯ ПОЛОЖЕНИЙ ЗАКОНОДАТЕЛЬСТВА</w:t>
      </w: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  <w:r w:rsidRPr="00DE0BBB">
        <w:rPr>
          <w:b/>
          <w:bCs/>
          <w:color w:val="222222"/>
        </w:rPr>
        <w:t>О ГРАДОСТРОИТЕЛЬНОЙ ДЕЯТЕЛЬНОСТИ</w:t>
      </w:r>
    </w:p>
    <w:p w:rsidR="00E65AAF" w:rsidRPr="00DE0BBB" w:rsidRDefault="00E65AAF" w:rsidP="00E65AAF">
      <w:pPr>
        <w:pStyle w:val="pc"/>
        <w:shd w:val="clear" w:color="auto" w:fill="FFFFFF"/>
        <w:spacing w:before="0" w:beforeAutospacing="0" w:after="0" w:afterAutospacing="0" w:line="312" w:lineRule="auto"/>
        <w:ind w:firstLine="425"/>
        <w:jc w:val="center"/>
        <w:textAlignment w:val="baseline"/>
        <w:rPr>
          <w:b/>
          <w:bCs/>
          <w:color w:val="222222"/>
        </w:rPr>
      </w:pP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>Управление государственного строительного надзора Федеральной службы по экологическому, технологическому и атомному надзору рассмотрело обращение по вопросу применения положений законодательства о градостроительной деятельности и саморегулируемых организаций и в пределах своей компетенции сообщает следующее.</w:t>
      </w: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proofErr w:type="gramStart"/>
      <w:r w:rsidRPr="00DE0BBB">
        <w:rPr>
          <w:color w:val="222222"/>
        </w:rPr>
        <w:t>Согласно части 9 статьи 3.3 Федерального закона от 29.12.2004 N </w:t>
      </w:r>
      <w:hyperlink r:id="rId5" w:history="1">
        <w:r w:rsidRPr="00DE0BBB">
          <w:rPr>
            <w:rStyle w:val="a3"/>
            <w:color w:val="1B6DFD"/>
            <w:u w:val="none"/>
            <w:bdr w:val="none" w:sz="0" w:space="0" w:color="auto" w:frame="1"/>
          </w:rPr>
          <w:t>191-ФЗ</w:t>
        </w:r>
      </w:hyperlink>
      <w:r w:rsidRPr="00DE0BBB">
        <w:rPr>
          <w:color w:val="222222"/>
        </w:rPr>
        <w:t> "О введении в действие </w:t>
      </w:r>
      <w:hyperlink r:id="rId6" w:history="1">
        <w:r w:rsidRPr="00DE0BBB">
          <w:rPr>
            <w:rStyle w:val="a3"/>
            <w:color w:val="1B6DFD"/>
            <w:u w:val="none"/>
            <w:bdr w:val="none" w:sz="0" w:space="0" w:color="auto" w:frame="1"/>
          </w:rPr>
          <w:t>Градостроительного кодекса</w:t>
        </w:r>
      </w:hyperlink>
      <w:r w:rsidRPr="00DE0BBB">
        <w:rPr>
          <w:color w:val="222222"/>
        </w:rPr>
        <w:t> Российской Федерации" (далее - Федеральный закон N 191-ФЗ) некоммерческая организация, имеющая статус саморегулируемой организации, основанная на членстве лиц, выполняющих инженерные изыскания и соответствующая требованиям, установленным частями 1 - 2 статьи </w:t>
      </w:r>
      <w:hyperlink r:id="rId7" w:history="1">
        <w:r w:rsidRPr="00DE0BBB">
          <w:rPr>
            <w:rStyle w:val="a3"/>
            <w:color w:val="1B6DFD"/>
            <w:u w:val="none"/>
            <w:bdr w:val="none" w:sz="0" w:space="0" w:color="auto" w:frame="1"/>
          </w:rPr>
          <w:t>55.4 Градостроительного кодекса</w:t>
        </w:r>
      </w:hyperlink>
      <w:r w:rsidRPr="00DE0BBB">
        <w:rPr>
          <w:color w:val="222222"/>
        </w:rPr>
        <w:t> Российской Федерации (далее - Кодекс), на основании заявлений своих членов не позднее 01.07.2017</w:t>
      </w:r>
      <w:proofErr w:type="gramEnd"/>
      <w:r w:rsidRPr="00DE0BBB">
        <w:rPr>
          <w:color w:val="222222"/>
        </w:rPr>
        <w:t xml:space="preserve"> была обязана сформировать компенсационный фонд возмещения вреда в соответствии с частью 10 статьи 55.16 Кодекса, а в случаях, установленных частью 2 статьи 55.4 Кодекса, - компенсационный фонд обеспечения договорных обязательств в соответствии с частью 11 статьи 55.16 Кодекса. При формировании указанных фондов необходимо было руководствоваться требованиями, установленными, в том числе, частями 10 и 12 статьи 3.3 Федерального закона N 191-ФЗ.</w:t>
      </w: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 xml:space="preserve">В соответствии с частью 11.1 статьи 3.3 Федерального закона N 191-ФЗ, некоммерческая организация, имеющая статус саморегулируемой организации, обязана использовать доходы, полученные от размещения средств компенсационного фонда </w:t>
      </w:r>
      <w:proofErr w:type="gramStart"/>
      <w:r w:rsidRPr="00DE0BBB">
        <w:rPr>
          <w:color w:val="222222"/>
        </w:rPr>
        <w:t>саморегулируемой организации, сформированного до 04.07.2016,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Федерации, в качестве взноса (части взноса)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организации.</w:t>
      </w:r>
      <w:proofErr w:type="gramEnd"/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>Пунктом 5 статьи 55.10 Кодекса в редакции, действующей до 01.07.2017, определено, что к исключительной компетенции общего собрания членов Ассоциации относится установление порядка формирования компенсационного фонда саморегулируемой организации.</w:t>
      </w: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proofErr w:type="gramStart"/>
      <w:r w:rsidRPr="00DE0BBB">
        <w:rPr>
          <w:color w:val="222222"/>
        </w:rPr>
        <w:lastRenderedPageBreak/>
        <w:t>Таким образом, решения об использовании доходов, полученных от размещения компенсационного фонда саморегулируемой организации, сформированного до 04.07.2016 в качестве части взноса члена саморегулируемой организации в компенсационный фонд обеспечения договорных обязательств, пропорционально размеру ранее внесенного им взноса в компенсационный фонд, должно было быть принято уполномоченным органом саморегулируемой организации в срок, установленный частью 9 статьи 3.3 Федерального закона № 191-ФЗ.</w:t>
      </w:r>
      <w:proofErr w:type="gramEnd"/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>По вопросу возврата взноса сообщаем следующее.</w:t>
      </w: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proofErr w:type="gramStart"/>
      <w:r w:rsidRPr="00DE0BBB">
        <w:rPr>
          <w:color w:val="222222"/>
        </w:rPr>
        <w:t>Перечень оснований для перечисления кредитной организацией средств соответствующего компенсационного фонда саморегулируемой организации, размещенном на специальном банковском счете установлен частями 4 и 5 статьи 55.16 Кодекса.</w:t>
      </w:r>
      <w:proofErr w:type="gramEnd"/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>Указанными нормативными правовыми актами не установлено случаев возврата ранее внесенного взноса в компенсационный фонд саморегулируемой организации.</w:t>
      </w:r>
    </w:p>
    <w:p w:rsidR="00E65AAF" w:rsidRPr="00DE0BBB" w:rsidRDefault="00E65AAF" w:rsidP="00E65AAF">
      <w:pPr>
        <w:pStyle w:val="pj"/>
        <w:shd w:val="clear" w:color="auto" w:fill="FFFFFF"/>
        <w:spacing w:before="0" w:beforeAutospacing="0" w:after="0" w:afterAutospacing="0" w:line="312" w:lineRule="auto"/>
        <w:ind w:firstLine="425"/>
        <w:jc w:val="both"/>
        <w:textAlignment w:val="baseline"/>
        <w:rPr>
          <w:color w:val="222222"/>
        </w:rPr>
      </w:pPr>
      <w:r w:rsidRPr="00DE0BBB">
        <w:rPr>
          <w:color w:val="222222"/>
        </w:rPr>
        <w:t>Кроме этого, в соответствии с частью 4 статьи 55.7 Кодекса также установлен запрет на возврат лицу, прекратившему членство в саморегулируемой организации, ранее уплаченных им вступительного взноса, членских взносов и взносов в соответствующий компенсационный фонд саморегулируемой организации.</w:t>
      </w:r>
    </w:p>
    <w:p w:rsidR="00E65AAF" w:rsidRPr="00DE0BBB" w:rsidRDefault="00E65AAF" w:rsidP="00E65AAF">
      <w:pPr>
        <w:pStyle w:val="pr"/>
        <w:shd w:val="clear" w:color="auto" w:fill="FFFFFF"/>
        <w:spacing w:before="0" w:beforeAutospacing="0" w:after="0" w:afterAutospacing="0" w:line="312" w:lineRule="auto"/>
        <w:ind w:firstLine="425"/>
        <w:jc w:val="right"/>
        <w:textAlignment w:val="baseline"/>
        <w:rPr>
          <w:color w:val="222222"/>
        </w:rPr>
      </w:pPr>
    </w:p>
    <w:p w:rsidR="00E65AAF" w:rsidRPr="00DE0BBB" w:rsidRDefault="00E65AAF" w:rsidP="00E65AAF">
      <w:pPr>
        <w:pStyle w:val="pr"/>
        <w:shd w:val="clear" w:color="auto" w:fill="FFFFFF"/>
        <w:spacing w:before="0" w:beforeAutospacing="0" w:after="0" w:afterAutospacing="0" w:line="312" w:lineRule="auto"/>
        <w:ind w:firstLine="425"/>
        <w:jc w:val="right"/>
        <w:textAlignment w:val="baseline"/>
        <w:rPr>
          <w:color w:val="222222"/>
        </w:rPr>
      </w:pPr>
      <w:r w:rsidRPr="00DE0BBB">
        <w:rPr>
          <w:color w:val="222222"/>
        </w:rPr>
        <w:t>Начальник</w:t>
      </w:r>
    </w:p>
    <w:p w:rsidR="00E65AAF" w:rsidRPr="00DE0BBB" w:rsidRDefault="00E65AAF" w:rsidP="00E65AAF">
      <w:pPr>
        <w:pStyle w:val="pr"/>
        <w:shd w:val="clear" w:color="auto" w:fill="FFFFFF"/>
        <w:spacing w:before="0" w:beforeAutospacing="0" w:after="0" w:afterAutospacing="0" w:line="312" w:lineRule="auto"/>
        <w:ind w:firstLine="425"/>
        <w:jc w:val="right"/>
        <w:textAlignment w:val="baseline"/>
        <w:rPr>
          <w:color w:val="222222"/>
        </w:rPr>
      </w:pPr>
      <w:r w:rsidRPr="00DE0BBB">
        <w:rPr>
          <w:color w:val="222222"/>
        </w:rPr>
        <w:t>Управления государственного</w:t>
      </w:r>
    </w:p>
    <w:p w:rsidR="00E65AAF" w:rsidRPr="00DE0BBB" w:rsidRDefault="00E65AAF" w:rsidP="00E65AAF">
      <w:pPr>
        <w:pStyle w:val="pr"/>
        <w:shd w:val="clear" w:color="auto" w:fill="FFFFFF"/>
        <w:spacing w:before="0" w:beforeAutospacing="0" w:after="0" w:afterAutospacing="0" w:line="312" w:lineRule="auto"/>
        <w:ind w:firstLine="425"/>
        <w:jc w:val="right"/>
        <w:textAlignment w:val="baseline"/>
        <w:rPr>
          <w:color w:val="222222"/>
        </w:rPr>
      </w:pPr>
      <w:r w:rsidRPr="00DE0BBB">
        <w:rPr>
          <w:color w:val="222222"/>
        </w:rPr>
        <w:t>строительного надзора</w:t>
      </w:r>
    </w:p>
    <w:p w:rsidR="00E65AAF" w:rsidRPr="00E65AAF" w:rsidRDefault="00E65AAF" w:rsidP="00E65AAF">
      <w:pPr>
        <w:pStyle w:val="pr"/>
        <w:shd w:val="clear" w:color="auto" w:fill="FFFFFF"/>
        <w:spacing w:before="0" w:beforeAutospacing="0" w:after="0" w:afterAutospacing="0" w:line="312" w:lineRule="auto"/>
        <w:ind w:firstLine="425"/>
        <w:jc w:val="right"/>
        <w:textAlignment w:val="baseline"/>
        <w:rPr>
          <w:color w:val="222222"/>
        </w:rPr>
      </w:pPr>
      <w:r w:rsidRPr="00DE0BBB">
        <w:rPr>
          <w:color w:val="222222"/>
        </w:rPr>
        <w:t>М.А.КЛИМОВА</w:t>
      </w:r>
    </w:p>
    <w:p w:rsidR="00452D7F" w:rsidRPr="00E65AAF" w:rsidRDefault="00452D7F" w:rsidP="00E65AAF">
      <w:pPr>
        <w:spacing w:after="0" w:line="312" w:lineRule="auto"/>
        <w:ind w:firstLine="425"/>
        <w:jc w:val="both"/>
        <w:rPr>
          <w:rFonts w:ascii="Times New Roman" w:hAnsi="Times New Roman" w:cs="Times New Roman"/>
        </w:rPr>
      </w:pPr>
    </w:p>
    <w:sectPr w:rsidR="00452D7F" w:rsidRPr="00E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AF"/>
    <w:rsid w:val="00452D7F"/>
    <w:rsid w:val="00DE07D9"/>
    <w:rsid w:val="00DE0BBB"/>
    <w:rsid w:val="00E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5AAF"/>
    <w:rPr>
      <w:color w:val="0000FF"/>
      <w:u w:val="single"/>
    </w:rPr>
  </w:style>
  <w:style w:type="paragraph" w:customStyle="1" w:styleId="pr">
    <w:name w:val="pr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5AAF"/>
    <w:rPr>
      <w:color w:val="0000FF"/>
      <w:u w:val="single"/>
    </w:rPr>
  </w:style>
  <w:style w:type="paragraph" w:customStyle="1" w:styleId="pr">
    <w:name w:val="pr"/>
    <w:basedOn w:val="a"/>
    <w:rsid w:val="00E6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Gradostroitelnyy-kodeks/Glava-6.1/Statya-55.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Gradostroitelnyy-kodeks/" TargetMode="External"/><Relationship Id="rId5" Type="http://schemas.openxmlformats.org/officeDocument/2006/relationships/hyperlink" Target="http://rulaws.ru/laws/Federalnyy-zakon-ot-29.12.2004-N-191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4</cp:revision>
  <dcterms:created xsi:type="dcterms:W3CDTF">2017-10-03T13:55:00Z</dcterms:created>
  <dcterms:modified xsi:type="dcterms:W3CDTF">2017-12-21T06:40:00Z</dcterms:modified>
</cp:coreProperties>
</file>